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mc:Ignorable="w14 wp14">
  <w:body>
    <w:p>
      <w:pPr>
        <w:pStyle w:val="style0"/>
        <w:jc w:val="center"/>
        <w:rPr>
          <w:b/>
          <w:bCs/>
        </w:rPr>
      </w:pPr>
    </w:p>
    <w:p>
      <w:pPr>
        <w:pStyle w:val="style0"/>
        <w:jc w:val="center"/>
        <w:rPr>
          <w:b/>
          <w:bCs/>
        </w:rPr>
      </w:pPr>
    </w:p>
    <w:p>
      <w:pPr>
        <w:pStyle w:val="style0"/>
        <w:jc w:val="center"/>
        <w:rPr>
          <w:b/>
          <w:bCs/>
        </w:rPr>
      </w:pPr>
    </w:p>
    <w:p>
      <w:pPr>
        <w:pStyle w:val="style0"/>
        <w:jc w:val="center"/>
        <w:rPr>
          <w:b/>
          <w:bCs/>
        </w:rPr>
      </w:pPr>
    </w:p>
    <w:p>
      <w:pPr>
        <w:pStyle w:val="style0"/>
        <w:jc w:val="center"/>
        <w:rPr>
          <w:b/>
          <w:bCs/>
        </w:rPr>
      </w:pPr>
    </w:p>
    <w:p>
      <w:pPr>
        <w:pStyle w:val="style0"/>
        <w:jc w:val="center"/>
        <w:rPr>
          <w:b/>
          <w:bCs/>
        </w:rPr>
      </w:pPr>
    </w:p>
    <w:p>
      <w:pPr>
        <w:pStyle w:val="style0"/>
        <w:jc w:val="center"/>
        <w:rPr>
          <w:b/>
          <w:bCs/>
        </w:rPr>
      </w:pPr>
      <w:r>
        <w:rPr>
          <w:b/>
          <w:bCs/>
        </w:rPr>
        <w:t>GLOBAL SUPPLY CHAIN RISK OVERVIEW</w:t>
      </w:r>
    </w:p>
    <w:p>
      <w:pPr>
        <w:pStyle w:val="style0"/>
        <w:jc w:val="center"/>
        <w:rPr>
          <w:b/>
          <w:bCs/>
        </w:rPr>
      </w:pPr>
    </w:p>
    <w:p>
      <w:pPr>
        <w:pStyle w:val="style0"/>
        <w:jc w:val="center"/>
        <w:rPr/>
      </w:pPr>
      <w:r>
        <w:t>Student</w:t>
      </w:r>
      <w:r>
        <w:t>'</w:t>
      </w:r>
      <w:r>
        <w:t>s Name</w:t>
      </w:r>
    </w:p>
    <w:p>
      <w:pPr>
        <w:pStyle w:val="style0"/>
        <w:jc w:val="center"/>
        <w:rPr/>
      </w:pPr>
      <w:r>
        <w:t>Professor</w:t>
      </w:r>
      <w:r>
        <w:t>'</w:t>
      </w:r>
      <w:r>
        <w:t>s Name</w:t>
      </w:r>
    </w:p>
    <w:p>
      <w:pPr>
        <w:pStyle w:val="style0"/>
        <w:jc w:val="center"/>
        <w:rPr/>
      </w:pPr>
      <w:r>
        <w:t>Course</w:t>
      </w:r>
    </w:p>
    <w:p>
      <w:pPr>
        <w:pStyle w:val="style0"/>
        <w:jc w:val="center"/>
        <w:rPr/>
      </w:pPr>
      <w:r>
        <w:t>Date</w:t>
      </w:r>
    </w:p>
    <w:p>
      <w:pPr>
        <w:pStyle w:val="style0"/>
        <w:rPr>
          <w:b/>
          <w:bCs/>
        </w:rPr>
      </w:pPr>
      <w:r>
        <w:rPr>
          <w:b/>
          <w:bCs/>
        </w:rPr>
        <w:br w:type="page"/>
      </w:r>
    </w:p>
    <w:p>
      <w:pPr>
        <w:pStyle w:val="style0"/>
        <w:jc w:val="center"/>
        <w:rPr>
          <w:b/>
          <w:bCs/>
        </w:rPr>
      </w:pPr>
      <w:r>
        <w:rPr>
          <w:b/>
          <w:bCs/>
        </w:rPr>
        <w:t xml:space="preserve">Introduction </w:t>
      </w:r>
    </w:p>
    <w:p>
      <w:pPr>
        <w:pStyle w:val="style0"/>
        <w:rPr/>
      </w:pPr>
      <w:r>
        <w:t xml:space="preserve">A global supply chain is dependent on multiple trade uncertainties that arise at multiple supply nodes giving rise to different risks. One of the </w:t>
      </w:r>
      <w:r>
        <w:t>business's critical exercise</w:t>
      </w:r>
      <w:r>
        <w:t xml:space="preserve">s to remain resilient is learning how to manage their supply chain risk. Globalization has opened numerous market channels </w:t>
      </w:r>
      <w:r>
        <w:t>that help individuals and organizations</w:t>
      </w:r>
      <w:r>
        <w:t xml:space="preserve"> extend their supply chain beyond nations</w:t>
      </w:r>
      <w:r>
        <w:t>'</w:t>
      </w:r>
      <w:r>
        <w:t xml:space="preserve"> boundaries. Also, organization</w:t>
      </w:r>
      <w:r>
        <w:t>s</w:t>
      </w:r>
      <w:r>
        <w:t xml:space="preserve"> need to embrace international contractors and logistics service providers for more enhanced trade experiences. However, </w:t>
      </w:r>
      <w:r>
        <w:t>even though</w:t>
      </w:r>
      <w:r>
        <w:t xml:space="preserve"> </w:t>
      </w:r>
      <w:r>
        <w:t>tremendous</w:t>
      </w:r>
      <w:r>
        <w:t xml:space="preserve"> growth has been experienced in international trade</w:t>
      </w:r>
      <w:r>
        <w:t>,</w:t>
      </w:r>
      <w:r>
        <w:t xml:space="preserve"> there are still multiple risks that concern </w:t>
      </w:r>
      <w:r>
        <w:t xml:space="preserve">the </w:t>
      </w:r>
      <w:r>
        <w:t xml:space="preserve">global supply chain. </w:t>
      </w:r>
      <w:r>
        <w:t xml:space="preserve">This essay will provide </w:t>
      </w:r>
      <w:r>
        <w:t xml:space="preserve">a </w:t>
      </w:r>
      <w:r>
        <w:t>risk overview of</w:t>
      </w:r>
      <w:r>
        <w:t xml:space="preserve"> acquiring a hospital intensive care unit via a </w:t>
      </w:r>
      <w:r>
        <w:t>worldwide</w:t>
      </w:r>
      <w:r>
        <w:t xml:space="preserve"> supply chain. </w:t>
      </w:r>
    </w:p>
    <w:p>
      <w:pPr>
        <w:pStyle w:val="style0"/>
        <w:jc w:val="center"/>
        <w:rPr>
          <w:b/>
          <w:bCs/>
        </w:rPr>
      </w:pPr>
      <w:r>
        <w:rPr>
          <w:b/>
          <w:bCs/>
        </w:rPr>
        <w:t>Description</w:t>
      </w:r>
      <w:r>
        <w:rPr>
          <w:b/>
          <w:bCs/>
        </w:rPr>
        <w:t xml:space="preserve"> of </w:t>
      </w:r>
      <w:r>
        <w:rPr>
          <w:b/>
          <w:bCs/>
        </w:rPr>
        <w:t>the product</w:t>
      </w:r>
    </w:p>
    <w:p>
      <w:pPr>
        <w:pStyle w:val="style0"/>
        <w:rPr/>
      </w:pPr>
      <w:r>
        <w:t>H</w:t>
      </w:r>
      <w:r>
        <w:t>ospital intensive care units (ITUs)</w:t>
      </w:r>
      <w:r>
        <w:t>, also</w:t>
      </w:r>
      <w:r>
        <w:t xml:space="preserve"> termed critical care unit</w:t>
      </w:r>
      <w:r>
        <w:t>s</w:t>
      </w:r>
      <w:r>
        <w:t xml:space="preserve"> (CCU</w:t>
      </w:r>
      <w:r>
        <w:t>s</w:t>
      </w:r>
      <w:r>
        <w:t>) or intensive therapy unit</w:t>
      </w:r>
      <w:r>
        <w:t>s</w:t>
      </w:r>
      <w:r>
        <w:t xml:space="preserve"> (ITU)</w:t>
      </w:r>
      <w:r>
        <w:t xml:space="preserve">, </w:t>
      </w:r>
      <w:r>
        <w:t>require</w:t>
      </w:r>
      <w:r>
        <w:t xml:space="preserve"> </w:t>
      </w:r>
      <w:r>
        <w:t>special hospital equipment that is deployed to provide intensive care services</w:t>
      </w:r>
      <w:r>
        <w:t xml:space="preserve"> (</w:t>
      </w:r>
      <w:r>
        <w:t>Vincent</w:t>
      </w:r>
      <w:r>
        <w:t xml:space="preserve"> et al., 2020)</w:t>
      </w:r>
      <w:r>
        <w:t>. ITUs</w:t>
      </w:r>
      <w:r>
        <w:t xml:space="preserve"> electronic system</w:t>
      </w:r>
      <w:r>
        <w:t>s</w:t>
      </w:r>
      <w:r>
        <w:t xml:space="preserve"> are deployed to cater </w:t>
      </w:r>
      <w:r>
        <w:t>to</w:t>
      </w:r>
      <w:r>
        <w:t xml:space="preserve"> </w:t>
      </w:r>
      <w:r>
        <w:t xml:space="preserve">patients </w:t>
      </w:r>
      <w:r>
        <w:t>in</w:t>
      </w:r>
      <w:r>
        <w:t xml:space="preserve"> life-threatening </w:t>
      </w:r>
      <w:r>
        <w:t>situations caused</w:t>
      </w:r>
      <w:r>
        <w:t xml:space="preserve"> </w:t>
      </w:r>
      <w:r>
        <w:t>by</w:t>
      </w:r>
      <w:r>
        <w:t xml:space="preserve"> either injuries or illnesses</w:t>
      </w:r>
      <w:r>
        <w:t xml:space="preserve">. </w:t>
      </w:r>
      <w:r>
        <w:t>Vincent</w:t>
      </w:r>
      <w:r>
        <w:t xml:space="preserve"> et al. (2020) noted that p</w:t>
      </w:r>
      <w:r>
        <w:t>atient</w:t>
      </w:r>
      <w:r>
        <w:t>s</w:t>
      </w:r>
      <w:r>
        <w:t xml:space="preserve"> under </w:t>
      </w:r>
      <w:r>
        <w:t xml:space="preserve">the </w:t>
      </w:r>
      <w:r>
        <w:t xml:space="preserve">ITUs unit require close supervision from highly </w:t>
      </w:r>
      <w:r>
        <w:t>trained</w:t>
      </w:r>
      <w:r>
        <w:t xml:space="preserve"> nurses, physicians, and </w:t>
      </w:r>
      <w:r>
        <w:t xml:space="preserve">therapists to provide </w:t>
      </w:r>
      <w:r>
        <w:t>exception</w:t>
      </w:r>
      <w:r>
        <w:t>al medical care.</w:t>
      </w:r>
      <w:r>
        <w:t xml:space="preserve"> Currently, nations </w:t>
      </w:r>
      <w:r>
        <w:t>worldwid</w:t>
      </w:r>
      <w:r>
        <w:t xml:space="preserve">e have made </w:t>
      </w:r>
      <w:r>
        <w:t xml:space="preserve">a </w:t>
      </w:r>
      <w:r>
        <w:t xml:space="preserve">tremendous effort to better their </w:t>
      </w:r>
      <w:r>
        <w:t xml:space="preserve">intensive care unit for better healthcare services. </w:t>
      </w:r>
      <w:r>
        <w:t>The facility has to undergo</w:t>
      </w:r>
      <w:r>
        <w:t xml:space="preserve"> </w:t>
      </w:r>
      <w:r>
        <w:t>global supply chain processes to e</w:t>
      </w:r>
      <w:r>
        <w:t>stablish the hospital intensive care units effectively</w:t>
      </w:r>
      <w:r>
        <w:t>.</w:t>
      </w:r>
      <w:r>
        <w:t xml:space="preserve"> This is because the unit will source its parts from </w:t>
      </w:r>
      <w:r>
        <w:t>the UK, Asian countries, India, and products</w:t>
      </w:r>
      <w:r>
        <w:t xml:space="preserve"> </w:t>
      </w:r>
      <w:r>
        <w:t>worldwid</w:t>
      </w:r>
      <w:r>
        <w:t xml:space="preserve">e. </w:t>
      </w:r>
      <w:r>
        <w:t>Min</w:t>
      </w:r>
      <w:r>
        <w:t xml:space="preserve"> (</w:t>
      </w:r>
      <w:r>
        <w:t>2017</w:t>
      </w:r>
      <w:r>
        <w:t>) noted that t</w:t>
      </w:r>
      <w:r>
        <w:t xml:space="preserve">he </w:t>
      </w:r>
      <w:r>
        <w:t>world</w:t>
      </w:r>
      <w:r>
        <w:t xml:space="preserve"> is expected to </w:t>
      </w:r>
      <w:r>
        <w:t>continuously invest in ITUs due to the huge need for better healthcare services</w:t>
      </w:r>
      <w:r>
        <w:t xml:space="preserve">. </w:t>
      </w:r>
    </w:p>
    <w:p>
      <w:pPr>
        <w:pStyle w:val="style0"/>
        <w:rPr/>
      </w:pPr>
      <w:r>
        <w:rPr>
          <w:noProof/>
        </w:rPr>
        <mc:AlternateContent>
          <mc:Choice Requires="wps">
            <w:drawing>
              <wp:anchor distT="0" distB="0" distL="0" distR="0" simplePos="false" relativeHeight="4" behindDoc="false" locked="false" layoutInCell="true" allowOverlap="true">
                <wp:simplePos x="0" y="0"/>
                <wp:positionH relativeFrom="column">
                  <wp:posOffset>4000500</wp:posOffset>
                </wp:positionH>
                <wp:positionV relativeFrom="paragraph">
                  <wp:posOffset>28576</wp:posOffset>
                </wp:positionV>
                <wp:extent cx="1924050" cy="952499"/>
                <wp:effectExtent l="0" t="0" r="19050" b="19050"/>
                <wp:wrapNone/>
                <wp:docPr id="1026" name="Oval 6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1924050" cy="952499"/>
                        </a:xfrm>
                        <a:prstGeom prst="ellipse"/>
                        <a:solidFill>
                          <a:srgbClr val="ffffff"/>
                        </a:solidFill>
                        <a:ln cmpd="sng" cap="flat" w="12700">
                          <a:solidFill>
                            <a:srgbClr val="ed7d31"/>
                          </a:solidFill>
                          <a:prstDash val="solid"/>
                          <a:miter/>
                          <a:headEnd/>
                          <a:tailEnd/>
                        </a:ln>
                      </wps:spPr>
                      <wps:txbx id="1026">
                        <w:txbxContent>
                          <w:p>
                            <w:pPr>
                              <w:pStyle w:val="style0"/>
                              <w:ind w:firstLine="0"/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Electronics from several Asian counties</w:t>
                            </w:r>
                          </w:p>
                        </w:txbxContent>
                      </wps:txbx>
                      <wps:bodyPr lIns="91440" rIns="91440" tIns="45720" bIns="45720" vert="horz" anchor="ctr" wrap="square">
                        <a:prstTxWarp prst="textNoShape"/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1026" fillcolor="white" stroked="t" style="position:absolute;margin-left:315.0pt;margin-top:2.25pt;width:151.5pt;height:75.0pt;z-index:4;mso-position-horizontal-relative:text;mso-position-vertical-relative:text;mso-width-percent:0;mso-height-percent:0;mso-width-relative:margin;mso-height-relative:margin;mso-wrap-distance-left:0.0pt;mso-wrap-distance-right:0.0pt;visibility:visible;v-text-anchor:middle;">
                <v:stroke joinstyle="miter" color="#ed7d31" weight="1.0pt"/>
                <v:fill/>
                <v:textbox inset="7.2pt,3.6pt,7.2pt,3.6pt">
                  <w:txbxContent>
                    <w:p>
                      <w:pPr>
                        <w:pStyle w:val="style0"/>
                        <w:ind w:firstLine="0"/>
                        <w:jc w:val="center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Electronics from several Asian counties</w:t>
                      </w:r>
                    </w:p>
                  </w:txbxContent>
                </v:textbox>
              </v:oval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false" relativeHeight="2" behindDoc="false" locked="false" layoutInCell="true" allowOverlap="true">
                <wp:simplePos x="0" y="0"/>
                <wp:positionH relativeFrom="column">
                  <wp:posOffset>95250</wp:posOffset>
                </wp:positionH>
                <wp:positionV relativeFrom="paragraph">
                  <wp:posOffset>-95250</wp:posOffset>
                </wp:positionV>
                <wp:extent cx="1857375" cy="1219200"/>
                <wp:effectExtent l="0" t="0" r="28575" b="19050"/>
                <wp:wrapNone/>
                <wp:docPr id="1027" name="Oval 4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1857375" cy="1219200"/>
                        </a:xfrm>
                        <a:prstGeom prst="ellipse"/>
                        <a:solidFill>
                          <a:srgbClr val="ffffff"/>
                        </a:solidFill>
                        <a:ln cmpd="sng" cap="flat" w="12700">
                          <a:solidFill>
                            <a:srgbClr val="ed7d31"/>
                          </a:solidFill>
                          <a:prstDash val="solid"/>
                          <a:miter/>
                          <a:headEnd/>
                          <a:tailEnd/>
                        </a:ln>
                      </wps:spPr>
                      <wps:txbx id="1027">
                        <w:txbxContent>
                          <w:p>
                            <w:pPr>
                              <w:pStyle w:val="style0"/>
                              <w:ind w:firstLine="0"/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The system designed, assembled, and tested in the UK</w:t>
                            </w:r>
                          </w:p>
                        </w:txbxContent>
                      </wps:txbx>
                      <wps:bodyPr lIns="91440" rIns="91440" tIns="45720" bIns="45720" vert="horz" anchor="ctr" wrap="square">
                        <a:prstTxWarp prst="textNoShape"/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1027" fillcolor="white" stroked="t" style="position:absolute;margin-left:7.5pt;margin-top:-7.5pt;width:146.25pt;height:96.0pt;z-index:2;mso-position-horizontal-relative:text;mso-position-vertical-relative:text;mso-width-percent:0;mso-height-percent:0;mso-width-relative:margin;mso-height-relative:margin;mso-wrap-distance-left:0.0pt;mso-wrap-distance-right:0.0pt;visibility:visible;v-text-anchor:middle;">
                <v:stroke joinstyle="miter" color="#ed7d31" weight="1.0pt"/>
                <v:fill/>
                <v:textbox inset="7.2pt,3.6pt,7.2pt,3.6pt">
                  <w:txbxContent>
                    <w:p>
                      <w:pPr>
                        <w:pStyle w:val="style0"/>
                        <w:ind w:firstLine="0"/>
                        <w:jc w:val="center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The system designed, assembled, and tested in the UK</w:t>
                      </w:r>
                    </w:p>
                  </w:txbxContent>
                </v:textbox>
              </v:oval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false" relativeHeight="3" behindDoc="false" locked="false" layoutInCell="true" allowOverlap="true">
                <wp:simplePos x="0" y="0"/>
                <wp:positionH relativeFrom="column">
                  <wp:posOffset>2038350</wp:posOffset>
                </wp:positionH>
                <wp:positionV relativeFrom="paragraph">
                  <wp:posOffset>0</wp:posOffset>
                </wp:positionV>
                <wp:extent cx="1695450" cy="904875"/>
                <wp:effectExtent l="0" t="0" r="19050" b="28575"/>
                <wp:wrapNone/>
                <wp:docPr id="1028" name="Oval 5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1695450" cy="904875"/>
                        </a:xfrm>
                        <a:prstGeom prst="ellipse"/>
                        <a:solidFill>
                          <a:srgbClr val="ffffff"/>
                        </a:solidFill>
                        <a:ln cmpd="sng" cap="flat" w="12700">
                          <a:solidFill>
                            <a:srgbClr val="ed7d31"/>
                          </a:solidFill>
                          <a:prstDash val="solid"/>
                          <a:miter/>
                          <a:headEnd/>
                          <a:tailEnd/>
                        </a:ln>
                      </wps:spPr>
                      <wps:txbx id="1028">
                        <w:txbxContent>
                          <w:p>
                            <w:pPr>
                              <w:pStyle w:val="style0"/>
                              <w:ind w:firstLine="0"/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software element developed in India.</w:t>
                            </w:r>
                          </w:p>
                        </w:txbxContent>
                      </wps:txbx>
                      <wps:bodyPr lIns="91440" rIns="91440" tIns="45720" bIns="45720" vert="horz" anchor="ctr" wrap="square">
                        <a:prstTxWarp prst="textNoShape"/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1028" fillcolor="white" stroked="t" style="position:absolute;margin-left:160.5pt;margin-top:0.0pt;width:133.5pt;height:71.25pt;z-index:3;mso-position-horizontal-relative:text;mso-position-vertical-relative:text;mso-width-percent:0;mso-height-percent:0;mso-width-relative:margin;mso-height-relative:margin;mso-wrap-distance-left:0.0pt;mso-wrap-distance-right:0.0pt;visibility:visible;v-text-anchor:middle;">
                <v:stroke joinstyle="miter" color="#ed7d31" weight="1.0pt"/>
                <v:fill/>
                <v:textbox inset="7.2pt,3.6pt,7.2pt,3.6pt">
                  <w:txbxContent>
                    <w:p>
                      <w:pPr>
                        <w:pStyle w:val="style0"/>
                        <w:ind w:firstLine="0"/>
                        <w:jc w:val="center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software element developed in India.</w:t>
                      </w:r>
                    </w:p>
                  </w:txbxContent>
                </v:textbox>
              </v:oval>
            </w:pict>
          </mc:Fallback>
        </mc:AlternateContent>
      </w:r>
    </w:p>
    <w:p>
      <w:pPr>
        <w:pStyle w:val="style0"/>
        <w:jc w:val="center"/>
        <w:rPr>
          <w:b/>
          <w:bCs/>
          <w:noProof/>
        </w:rPr>
      </w:pPr>
      <w:r>
        <w:rPr>
          <w:noProof/>
        </w:rPr>
        <mc:AlternateContent>
          <mc:Choice Requires="wps">
            <w:drawing>
              <wp:anchor distT="0" distB="0" distL="0" distR="0" simplePos="false" relativeHeight="8" behindDoc="false" locked="false" layoutInCell="true" allowOverlap="true">
                <wp:simplePos x="0" y="0"/>
                <wp:positionH relativeFrom="column">
                  <wp:posOffset>3028950</wp:posOffset>
                </wp:positionH>
                <wp:positionV relativeFrom="paragraph">
                  <wp:posOffset>452755</wp:posOffset>
                </wp:positionV>
                <wp:extent cx="114300" cy="457200"/>
                <wp:effectExtent l="0" t="0" r="57150" b="57150"/>
                <wp:wrapNone/>
                <wp:docPr id="1029" name="Straight Arrow Connector 12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114300" cy="457200"/>
                        </a:xfrm>
                        <a:prstGeom prst="straightConnector1"/>
                        <a:ln cmpd="sng" cap="flat" w="19050">
                          <a:solidFill>
                            <a:srgbClr val="4472c4"/>
                          </a:solidFill>
                          <a:prstDash val="solid"/>
                          <a:miter/>
                          <a:headEnd/>
                          <a:tailEnd len="med" w="med" type="triangle"/>
                        </a:ln>
                      </wps:spPr>
                      <wps:bodyPr>
                        <a:prstTxWarp prst="textNoShape"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>
                <v:path arrowok="t" fillok="f" o:connecttype="none"/>
                <o:lock v:ext="edit" shapetype="t"/>
              </v:shapetype>
              <v:shape id="1029" type="#_x0000_t32" filled="f" style="position:absolute;margin-left:238.5pt;margin-top:35.65pt;width:9.0pt;height:36.0pt;z-index:8;mso-position-horizontal-relative:text;mso-position-vertical-relative:text;mso-width-percent:0;mso-height-percent:0;mso-width-relative:margin;mso-height-relative:margin;mso-wrap-distance-left:0.0pt;mso-wrap-distance-right:0.0pt;visibility:visible;">
                <v:stroke endarrow="block" joinstyle="miter" color="#4472c4" weight="1.5pt"/>
                <v:fill/>
              </v:shape>
            </w:pict>
          </mc:Fallback>
        </mc:AlternateContent>
      </w:r>
    </w:p>
    <w:p>
      <w:pPr>
        <w:pStyle w:val="style0"/>
        <w:jc w:val="center"/>
        <w:rPr>
          <w:b/>
          <w:bCs/>
          <w:noProof/>
        </w:rPr>
      </w:pPr>
      <w:r>
        <w:rPr>
          <w:noProof/>
        </w:rPr>
        <mc:AlternateContent>
          <mc:Choice Requires="wps">
            <w:drawing>
              <wp:anchor distT="0" distB="0" distL="0" distR="0" simplePos="false" relativeHeight="9" behindDoc="false" locked="false" layoutInCell="true" allowOverlap="true">
                <wp:simplePos x="0" y="0"/>
                <wp:positionH relativeFrom="column">
                  <wp:posOffset>3952874</wp:posOffset>
                </wp:positionH>
                <wp:positionV relativeFrom="paragraph">
                  <wp:posOffset>76835</wp:posOffset>
                </wp:positionV>
                <wp:extent cx="933450" cy="600075"/>
                <wp:effectExtent l="38100" t="0" r="19050" b="47625"/>
                <wp:wrapNone/>
                <wp:docPr id="1030" name="Straight Arrow Connector 13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 flipH="1">
                          <a:off x="0" y="0"/>
                          <a:ext cx="933450" cy="600075"/>
                        </a:xfrm>
                        <a:prstGeom prst="straightConnector1"/>
                        <a:ln cmpd="sng" cap="flat" w="19050">
                          <a:solidFill>
                            <a:srgbClr val="4472c4"/>
                          </a:solidFill>
                          <a:prstDash val="solid"/>
                          <a:miter/>
                          <a:headEnd/>
                          <a:tailEnd len="med" w="med" type="triangle"/>
                        </a:ln>
                      </wps:spPr>
                      <wps:bodyPr>
                        <a:prstTxWarp prst="textNoShape"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1030" type="#_x0000_t32" filled="f" style="position:absolute;margin-left:311.25pt;margin-top:6.05pt;width:73.5pt;height:47.25pt;z-index:9;mso-position-horizontal-relative:text;mso-position-vertical-relative:text;mso-width-percent:0;mso-height-percent:0;mso-width-relative:margin;mso-height-relative:margin;mso-wrap-distance-left:0.0pt;mso-wrap-distance-right:0.0pt;visibility:visible;flip:x;">
                <v:stroke endarrow="block" joinstyle="miter" color="#4472c4" weight="1.5pt"/>
                <v:fill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false" relativeHeight="7" behindDoc="false" locked="false" layoutInCell="true" allowOverlap="true">
                <wp:simplePos x="0" y="0"/>
                <wp:positionH relativeFrom="column">
                  <wp:posOffset>1704975</wp:posOffset>
                </wp:positionH>
                <wp:positionV relativeFrom="paragraph">
                  <wp:posOffset>38735</wp:posOffset>
                </wp:positionV>
                <wp:extent cx="838200" cy="638175"/>
                <wp:effectExtent l="0" t="0" r="57150" b="47625"/>
                <wp:wrapNone/>
                <wp:docPr id="1031" name="Straight Arrow Connector 11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838200" cy="638175"/>
                        </a:xfrm>
                        <a:prstGeom prst="straightConnector1"/>
                        <a:ln cmpd="sng" cap="flat" w="19050">
                          <a:solidFill>
                            <a:srgbClr val="4472c4"/>
                          </a:solidFill>
                          <a:prstDash val="solid"/>
                          <a:miter/>
                          <a:headEnd/>
                          <a:tailEnd len="med" w="med" type="triangle"/>
                        </a:ln>
                      </wps:spPr>
                      <wps:bodyPr>
                        <a:prstTxWarp prst="textNoShape"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1031" type="#_x0000_t32" filled="f" style="position:absolute;margin-left:134.25pt;margin-top:3.05pt;width:66.0pt;height:50.25pt;z-index:7;mso-position-horizontal-relative:text;mso-position-vertical-relative:text;mso-width-relative:page;mso-height-relative:page;mso-wrap-distance-left:0.0pt;mso-wrap-distance-right:0.0pt;visibility:visible;">
                <v:stroke endarrow="block" joinstyle="miter" color="#4472c4" weight="1.5pt"/>
                <v:fill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false" relativeHeight="5" behindDoc="false" locked="false" layoutInCell="true" allowOverlap="true">
                <wp:simplePos x="0" y="0"/>
                <wp:positionH relativeFrom="column">
                  <wp:posOffset>2457450</wp:posOffset>
                </wp:positionH>
                <wp:positionV relativeFrom="paragraph">
                  <wp:posOffset>410210</wp:posOffset>
                </wp:positionV>
                <wp:extent cx="1638300" cy="1028700"/>
                <wp:effectExtent l="0" t="0" r="19050" b="19050"/>
                <wp:wrapNone/>
                <wp:docPr id="1032" name="Oval 8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1638300" cy="1028700"/>
                        </a:xfrm>
                        <a:prstGeom prst="ellipse"/>
                        <a:solidFill>
                          <a:srgbClr val="ffffff"/>
                        </a:solidFill>
                        <a:ln cmpd="sng" cap="flat" w="12700">
                          <a:solidFill>
                            <a:srgbClr val="000000"/>
                          </a:solidFill>
                          <a:prstDash val="solid"/>
                          <a:miter/>
                          <a:headEnd/>
                          <a:tailEnd/>
                        </a:ln>
                      </wps:spPr>
                      <wps:txbx id="1032">
                        <w:txbxContent>
                          <w:p>
                            <w:pPr>
                              <w:pStyle w:val="style0"/>
                              <w:ind w:firstLine="0"/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ITUs</w:t>
                            </w:r>
                            <w: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electronic system</w:t>
                            </w:r>
                          </w:p>
                        </w:txbxContent>
                      </wps:txbx>
                      <wps:bodyPr lIns="91440" rIns="91440" tIns="45720" bIns="45720" vert="horz" anchor="ctr" wrap="square">
                        <a:prstTxWarp prst="textNoShape"/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1032" fillcolor="white" stroked="t" style="position:absolute;margin-left:193.5pt;margin-top:32.3pt;width:129.0pt;height:81.0pt;z-index:5;mso-position-horizontal-relative:text;mso-position-vertical-relative:text;mso-width-percent:0;mso-height-percent:0;mso-width-relative:margin;mso-height-relative:margin;mso-wrap-distance-left:0.0pt;mso-wrap-distance-right:0.0pt;visibility:visible;v-text-anchor:middle;">
                <v:stroke joinstyle="miter" weight="1.0pt"/>
                <v:fill/>
                <v:textbox inset="7.2pt,3.6pt,7.2pt,3.6pt">
                  <w:txbxContent>
                    <w:p>
                      <w:pPr>
                        <w:pStyle w:val="style0"/>
                        <w:ind w:firstLine="0"/>
                        <w:jc w:val="center"/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ITUs</w:t>
                      </w:r>
                      <w:r>
                        <w:t xml:space="preserve"> </w:t>
                      </w:r>
                      <w:r>
                        <w:rPr>
                          <w:sz w:val="20"/>
                        </w:rPr>
                        <w:t>electronic system</w:t>
                      </w:r>
                    </w:p>
                  </w:txbxContent>
                </v:textbox>
              </v:oval>
            </w:pict>
          </mc:Fallback>
        </mc:AlternateContent>
      </w:r>
    </w:p>
    <w:p>
      <w:pPr>
        <w:pStyle w:val="style0"/>
        <w:jc w:val="center"/>
        <w:rPr>
          <w:b/>
          <w:bCs/>
          <w:noProof/>
        </w:rPr>
      </w:pPr>
    </w:p>
    <w:p>
      <w:pPr>
        <w:pStyle w:val="style0"/>
        <w:jc w:val="center"/>
        <w:rPr>
          <w:b/>
          <w:bCs/>
          <w:noProof/>
        </w:rPr>
      </w:pPr>
    </w:p>
    <w:p>
      <w:pPr>
        <w:pStyle w:val="style0"/>
        <w:jc w:val="center"/>
        <w:rPr>
          <w:b/>
          <w:bCs/>
          <w:noProof/>
        </w:rPr>
      </w:pPr>
      <w:r>
        <w:rPr>
          <w:noProof/>
        </w:rPr>
        <mc:AlternateContent>
          <mc:Choice Requires="wps">
            <w:drawing>
              <wp:anchor distT="0" distB="0" distL="0" distR="0" simplePos="false" relativeHeight="10" behindDoc="false" locked="false" layoutInCell="true" allowOverlap="true">
                <wp:simplePos x="0" y="0"/>
                <wp:positionH relativeFrom="column">
                  <wp:posOffset>3248025</wp:posOffset>
                </wp:positionH>
                <wp:positionV relativeFrom="paragraph">
                  <wp:posOffset>82550</wp:posOffset>
                </wp:positionV>
                <wp:extent cx="45718" cy="600075"/>
                <wp:effectExtent l="38100" t="0" r="69215" b="47625"/>
                <wp:wrapNone/>
                <wp:docPr id="1033" name="Straight Arrow Connector 14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45718" cy="600075"/>
                        </a:xfrm>
                        <a:prstGeom prst="straightConnector1"/>
                        <a:ln cmpd="sng" cap="flat" w="19050">
                          <a:solidFill>
                            <a:srgbClr val="4472c4"/>
                          </a:solidFill>
                          <a:prstDash val="solid"/>
                          <a:miter/>
                          <a:headEnd/>
                          <a:tailEnd len="med" w="med" type="triangle"/>
                        </a:ln>
                      </wps:spPr>
                      <wps:bodyPr>
                        <a:prstTxWarp prst="textNoShape"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1033" type="#_x0000_t32" filled="f" style="position:absolute;margin-left:255.75pt;margin-top:6.5pt;width:3.6pt;height:47.25pt;z-index:10;mso-position-horizontal-relative:text;mso-position-vertical-relative:text;mso-width-percent:0;mso-height-percent:0;mso-width-relative:margin;mso-height-relative:margin;mso-wrap-distance-left:0.0pt;mso-wrap-distance-right:0.0pt;visibility:visible;">
                <v:stroke endarrow="block" joinstyle="miter" color="#4472c4" weight="1.5pt"/>
                <v:fill/>
              </v:shape>
            </w:pict>
          </mc:Fallback>
        </mc:AlternateContent>
      </w:r>
    </w:p>
    <w:p>
      <w:pPr>
        <w:pStyle w:val="style0"/>
        <w:jc w:val="center"/>
        <w:rPr>
          <w:b/>
          <w:bCs/>
          <w:noProof/>
        </w:rPr>
      </w:pPr>
      <w:r>
        <w:rPr>
          <w:noProof/>
        </w:rPr>
        <mc:AlternateContent>
          <mc:Choice Requires="wps">
            <w:drawing>
              <wp:anchor distT="0" distB="0" distL="0" distR="0" simplePos="false" relativeHeight="6" behindDoc="false" locked="false" layoutInCell="true" allowOverlap="true">
                <wp:simplePos x="0" y="0"/>
                <wp:positionH relativeFrom="column">
                  <wp:posOffset>2037715</wp:posOffset>
                </wp:positionH>
                <wp:positionV relativeFrom="paragraph">
                  <wp:posOffset>230505</wp:posOffset>
                </wp:positionV>
                <wp:extent cx="2581275" cy="1533524"/>
                <wp:effectExtent l="0" t="0" r="28575" b="28575"/>
                <wp:wrapNone/>
                <wp:docPr id="1034" name="Oval 10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2581275" cy="1533524"/>
                        </a:xfrm>
                        <a:prstGeom prst="ellipse"/>
                        <a:solidFill>
                          <a:srgbClr val="ffffff"/>
                        </a:solidFill>
                        <a:ln cmpd="sng" cap="flat" w="12700">
                          <a:solidFill>
                            <a:srgbClr val="000000"/>
                          </a:solidFill>
                          <a:prstDash val="solid"/>
                          <a:miter/>
                          <a:headEnd/>
                          <a:tailEnd/>
                        </a:ln>
                      </wps:spPr>
                      <wps:txbx id="1034">
                        <w:txbxContent>
                          <w:p>
                            <w:pPr>
                              <w:pStyle w:val="style0"/>
                              <w:ind w:firstLine="0"/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S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>ystem sold world-wide and maintenance support for at least 10 years</w:t>
                            </w:r>
                          </w:p>
                        </w:txbxContent>
                      </wps:txbx>
                      <wps:bodyPr lIns="91440" rIns="91440" tIns="45720" bIns="45720" vert="horz" anchor="ctr" wrap="square">
                        <a:prstTxWarp prst="textNoShape"/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1034" fillcolor="white" stroked="t" style="position:absolute;margin-left:160.45pt;margin-top:18.15pt;width:203.25pt;height:120.75pt;z-index:6;mso-position-horizontal-relative:text;mso-position-vertical-relative:text;mso-width-percent:0;mso-height-percent:0;mso-width-relative:margin;mso-height-relative:margin;mso-wrap-distance-left:0.0pt;mso-wrap-distance-right:0.0pt;visibility:visible;v-text-anchor:middle;">
                <v:stroke joinstyle="miter" weight="1.0pt"/>
                <v:fill/>
                <v:textbox inset="7.2pt,3.6pt,7.2pt,3.6pt">
                  <w:txbxContent>
                    <w:p>
                      <w:pPr>
                        <w:pStyle w:val="style0"/>
                        <w:ind w:firstLine="0"/>
                        <w:jc w:val="center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S</w:t>
                      </w:r>
                      <w:r>
                        <w:rPr>
                          <w:sz w:val="20"/>
                          <w:szCs w:val="20"/>
                        </w:rPr>
                        <w:t>ystem sold world-wide and maintenance support for at least 10 years</w:t>
                      </w:r>
                    </w:p>
                  </w:txbxContent>
                </v:textbox>
              </v:oval>
            </w:pict>
          </mc:Fallback>
        </mc:AlternateContent>
      </w:r>
    </w:p>
    <w:p>
      <w:pPr>
        <w:pStyle w:val="style0"/>
        <w:jc w:val="center"/>
        <w:rPr>
          <w:b/>
          <w:bCs/>
          <w:noProof/>
        </w:rPr>
      </w:pPr>
    </w:p>
    <w:p>
      <w:pPr>
        <w:pStyle w:val="style0"/>
        <w:jc w:val="center"/>
        <w:rPr>
          <w:b/>
          <w:bCs/>
          <w:noProof/>
        </w:rPr>
      </w:pPr>
    </w:p>
    <w:p>
      <w:pPr>
        <w:pStyle w:val="style0"/>
        <w:jc w:val="center"/>
        <w:rPr>
          <w:b/>
          <w:bCs/>
          <w:noProof/>
        </w:rPr>
      </w:pPr>
    </w:p>
    <w:p>
      <w:pPr>
        <w:pStyle w:val="style0"/>
        <w:rPr>
          <w:noProof/>
        </w:rPr>
      </w:pPr>
      <w:r>
        <w:rPr>
          <w:noProof/>
        </w:rPr>
        <w:t xml:space="preserve">Diagram indicates different types of </w:t>
      </w:r>
      <w:r>
        <w:rPr>
          <w:noProof/>
        </w:rPr>
        <w:t xml:space="preserve">the </w:t>
      </w:r>
      <w:r>
        <w:rPr>
          <w:noProof/>
        </w:rPr>
        <w:t>supply chain that will be compl</w:t>
      </w:r>
      <w:r>
        <w:rPr>
          <w:noProof/>
        </w:rPr>
        <w:t>e</w:t>
      </w:r>
      <w:r>
        <w:rPr>
          <w:noProof/>
        </w:rPr>
        <w:t xml:space="preserve">ted in this case. The </w:t>
      </w:r>
      <w:r>
        <w:rPr>
          <w:noProof/>
        </w:rPr>
        <w:t>supply chain will include shipping products from India, UK, China, and Asian Nations to develop hospital care units. These ITUs</w:t>
      </w:r>
      <w:r>
        <w:t>' electronic system will be again shipped to the global market,</w:t>
      </w:r>
      <w:r>
        <w:rPr>
          <w:noProof/>
        </w:rPr>
        <w:t xml:space="preserve"> accompanied by atleast </w:t>
      </w:r>
      <w:r>
        <w:rPr>
          <w:noProof/>
        </w:rPr>
        <w:t>ten</w:t>
      </w:r>
      <w:r>
        <w:rPr>
          <w:noProof/>
        </w:rPr>
        <w:t xml:space="preserve"> years maint</w:t>
      </w:r>
      <w:r>
        <w:rPr>
          <w:noProof/>
        </w:rPr>
        <w:t>en</w:t>
      </w:r>
      <w:r>
        <w:rPr>
          <w:noProof/>
        </w:rPr>
        <w:t xml:space="preserve">ance. </w:t>
      </w:r>
    </w:p>
    <w:p>
      <w:pPr>
        <w:pStyle w:val="style0"/>
        <w:jc w:val="center"/>
        <w:rPr>
          <w:b/>
          <w:bCs/>
          <w:noProof/>
        </w:rPr>
      </w:pPr>
      <w:r>
        <w:rPr>
          <w:b/>
          <w:bCs/>
          <w:noProof/>
        </w:rPr>
        <w:t>Risk in Global Supply Chains</w:t>
      </w:r>
    </w:p>
    <w:p>
      <w:pPr>
        <w:pStyle w:val="style0"/>
        <w:rPr/>
      </w:pPr>
      <w:r>
        <w:rPr>
          <w:noProof/>
        </w:rPr>
        <w:drawing>
          <wp:inline distL="0" distT="0" distB="0" distR="0">
            <wp:extent cx="4981575" cy="2614930"/>
            <wp:effectExtent l="0" t="0" r="9525" b="0"/>
            <wp:docPr id="1035" name="Picture 2" descr="Risks in Global Supply Chains | The Geography of Transport Systems"/>
            <wp:cNvGraphicFramePr>
              <a:graphicFrameLocks xmlns:a="http://schemas.openxmlformats.org/drawingml/2006/main" noChangeAspect="false" noSelect="false" noResize="false" noGrp="fals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/>
                  </pic:nvPicPr>
                  <pic:blipFill>
                    <a:blip r:embed="rId2" cstate="print"/>
                    <a:srcRect l="0" t="0" r="16186" b="0"/>
                    <a:stretch/>
                  </pic:blipFill>
                  <pic:spPr>
                    <a:xfrm rot="0">
                      <a:off x="0" y="0"/>
                      <a:ext cx="4981575" cy="2614930"/>
                    </a:xfrm>
                    <a:prstGeom prst="rect"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style0"/>
        <w:rPr/>
      </w:pPr>
      <w:r>
        <w:t>Extracted from:</w:t>
      </w:r>
      <w:r>
        <w:t xml:space="preserve"> </w:t>
      </w:r>
      <w:r>
        <w:rPr/>
        <w:fldChar w:fldCharType="begin"/>
      </w:r>
      <w:r>
        <w:instrText xml:space="preserve"> HYPERLINK "https://transportgeography.org/contents/chapter9/transportation-and-disasters/supply_chain_risks-2/" </w:instrText>
      </w:r>
      <w:r>
        <w:rPr/>
        <w:fldChar w:fldCharType="separate"/>
      </w:r>
      <w:r>
        <w:rPr>
          <w:rStyle w:val="style85"/>
        </w:rPr>
        <w:t>https://transportgeography.org/contents/chapter9/transportation-and-disasters/supply_chain_risks-2/</w:t>
      </w:r>
      <w:r>
        <w:rPr/>
        <w:fldChar w:fldCharType="end"/>
      </w:r>
      <w:r>
        <w:t xml:space="preserve"> </w:t>
      </w:r>
    </w:p>
    <w:p>
      <w:pPr>
        <w:pStyle w:val="style0"/>
        <w:rPr/>
      </w:pPr>
      <w:r>
        <w:t xml:space="preserve">As indicated in the diagram, </w:t>
      </w:r>
      <w:r>
        <w:t>supply</w:t>
      </w:r>
      <w:r>
        <w:t xml:space="preserve"> </w:t>
      </w:r>
      <w:r>
        <w:t xml:space="preserve">risks </w:t>
      </w:r>
      <w:r>
        <w:t xml:space="preserve">are connected to </w:t>
      </w:r>
      <w:r>
        <w:t xml:space="preserve">the </w:t>
      </w:r>
      <w:r>
        <w:t xml:space="preserve">demand and operational risks. </w:t>
      </w:r>
      <w:r>
        <w:t>The s</w:t>
      </w:r>
      <w:r>
        <w:t>upply chain has to meet demand</w:t>
      </w:r>
      <w:r>
        <w:t>,</w:t>
      </w:r>
      <w:r>
        <w:t xml:space="preserve"> and </w:t>
      </w:r>
      <w:r>
        <w:t>func</w:t>
      </w:r>
      <w:r>
        <w:t>tional requirement</w:t>
      </w:r>
      <w:r>
        <w:t>s</w:t>
      </w:r>
      <w:r>
        <w:t xml:space="preserve"> or </w:t>
      </w:r>
      <w:r>
        <w:t xml:space="preserve">whereas give rise to supply disruptions. Further, demand </w:t>
      </w:r>
      <w:r>
        <w:t>aspects</w:t>
      </w:r>
      <w:r>
        <w:t xml:space="preserve"> greatly </w:t>
      </w:r>
      <w:r>
        <w:t>influence</w:t>
      </w:r>
      <w:r>
        <w:t xml:space="preserve"> </w:t>
      </w:r>
      <w:r>
        <w:t xml:space="preserve">the </w:t>
      </w:r>
      <w:r>
        <w:t>supply chain</w:t>
      </w:r>
      <w:r>
        <w:t>, where unexpected behavior in demand can result</w:t>
      </w:r>
      <w:r>
        <w:t xml:space="preserve"> in</w:t>
      </w:r>
      <w:r>
        <w:t xml:space="preserve"> demand disruption. </w:t>
      </w:r>
      <w:r>
        <w:t xml:space="preserve">Finally, </w:t>
      </w:r>
      <w:r>
        <w:t xml:space="preserve">the </w:t>
      </w:r>
      <w:r>
        <w:t xml:space="preserve">supply chain depends on operational elements to move products from producer to client. Therefore, global supply chain risks rotate around supply, demand, and </w:t>
      </w:r>
      <w:r>
        <w:t xml:space="preserve">operational risks. </w:t>
      </w:r>
      <w:r>
        <w:t>The diagram above indicates different factors that</w:t>
      </w:r>
      <w:r>
        <w:t xml:space="preserve"> significantly impact supply chain risk.</w:t>
      </w:r>
    </w:p>
    <w:p>
      <w:pPr>
        <w:pStyle w:val="style0"/>
        <w:ind w:firstLine="0"/>
        <w:rPr>
          <w:b/>
          <w:bCs/>
        </w:rPr>
      </w:pPr>
      <w:r>
        <w:rPr>
          <w:b/>
          <w:bCs/>
        </w:rPr>
        <w:t>Environmental</w:t>
      </w:r>
      <w:r>
        <w:rPr>
          <w:b/>
          <w:bCs/>
        </w:rPr>
        <w:t xml:space="preserve"> and W</w:t>
      </w:r>
      <w:r>
        <w:rPr>
          <w:b/>
          <w:bCs/>
        </w:rPr>
        <w:t>ea</w:t>
      </w:r>
      <w:r>
        <w:rPr>
          <w:b/>
          <w:bCs/>
        </w:rPr>
        <w:t>ther Risk Factors</w:t>
      </w:r>
    </w:p>
    <w:p>
      <w:pPr>
        <w:pStyle w:val="style0"/>
        <w:rPr/>
      </w:pPr>
      <w:r>
        <w:t xml:space="preserve"> India, Asia, </w:t>
      </w:r>
      <w:r>
        <w:t xml:space="preserve">the </w:t>
      </w:r>
      <w:r>
        <w:t>UK, China, and other part</w:t>
      </w:r>
      <w:r>
        <w:t>s</w:t>
      </w:r>
      <w:r>
        <w:t xml:space="preserve"> of the wor</w:t>
      </w:r>
      <w:r>
        <w:t>l</w:t>
      </w:r>
      <w:r>
        <w:t xml:space="preserve">d </w:t>
      </w:r>
      <w:r>
        <w:t xml:space="preserve">have different climates. This makes </w:t>
      </w:r>
      <w:r>
        <w:t xml:space="preserve">an </w:t>
      </w:r>
      <w:r>
        <w:t xml:space="preserve">environment </w:t>
      </w:r>
      <w:r>
        <w:t>a significant factor in all organizations completing global supply chains lacking</w:t>
      </w:r>
      <w:r>
        <w:t xml:space="preserve"> control over. </w:t>
      </w:r>
      <w:r>
        <w:t xml:space="preserve"> </w:t>
      </w:r>
      <w:r>
        <w:t>The glob</w:t>
      </w:r>
      <w:r>
        <w:t xml:space="preserve">al supply chain of setting up an intensive care unit can experience extreme weather </w:t>
      </w:r>
      <w:r>
        <w:t xml:space="preserve">events. These events </w:t>
      </w:r>
      <w:r>
        <w:t>include</w:t>
      </w:r>
      <w:r>
        <w:t xml:space="preserve"> tropical storms</w:t>
      </w:r>
      <w:r>
        <w:t>,</w:t>
      </w:r>
      <w:r>
        <w:t xml:space="preserve"> which affect ocean freight </w:t>
      </w:r>
      <w:r>
        <w:t>route</w:t>
      </w:r>
      <w:r>
        <w:t>s</w:t>
      </w:r>
      <w:r>
        <w:t xml:space="preserve"> </w:t>
      </w:r>
      <w:r>
        <w:t xml:space="preserve">caused by global warming. In </w:t>
      </w:r>
      <w:r>
        <w:t>tropical storm instances, shipping products through the ocean have to be recalculated, resulting in delays or more costly as the shippers incur cost to gain flexibility due to</w:t>
      </w:r>
      <w:r>
        <w:t xml:space="preserve"> those tumultuous periods</w:t>
      </w:r>
      <w:r>
        <w:t xml:space="preserve"> (</w:t>
      </w:r>
      <w:r>
        <w:t>El Baz</w:t>
      </w:r>
      <w:r>
        <w:t xml:space="preserve"> </w:t>
      </w:r>
      <w:r>
        <w:t>&amp; Ruel, 2021).</w:t>
      </w:r>
      <w:r>
        <w:t xml:space="preserve"> </w:t>
      </w:r>
      <w:r>
        <w:t xml:space="preserve">Other whether </w:t>
      </w:r>
      <w:r>
        <w:t>calamity</w:t>
      </w:r>
      <w:r>
        <w:t xml:space="preserve"> include</w:t>
      </w:r>
      <w:r>
        <w:t>s</w:t>
      </w:r>
      <w:r>
        <w:t xml:space="preserve"> tsunami waves which affect the </w:t>
      </w:r>
      <w:r>
        <w:t xml:space="preserve">ocean navigation. </w:t>
      </w:r>
      <w:r>
        <w:t>Some part of the globe experience</w:t>
      </w:r>
      <w:r>
        <w:t xml:space="preserve"> earthquake regularly causing sudden disruption to the global trade routes utilized for </w:t>
      </w:r>
      <w:r>
        <w:t xml:space="preserve">the </w:t>
      </w:r>
      <w:r>
        <w:t xml:space="preserve">effective global supply </w:t>
      </w:r>
      <w:r>
        <w:t>chain.</w:t>
      </w:r>
    </w:p>
    <w:p>
      <w:pPr>
        <w:pStyle w:val="style0"/>
        <w:ind w:firstLine="0"/>
        <w:rPr>
          <w:b/>
          <w:bCs/>
        </w:rPr>
      </w:pPr>
      <w:r>
        <w:rPr>
          <w:b/>
          <w:bCs/>
        </w:rPr>
        <w:t xml:space="preserve">Geopolitical </w:t>
      </w:r>
      <w:r>
        <w:rPr>
          <w:b/>
          <w:bCs/>
        </w:rPr>
        <w:t>Risk Factors</w:t>
      </w:r>
    </w:p>
    <w:p>
      <w:pPr>
        <w:pStyle w:val="style0"/>
        <w:rPr/>
      </w:pPr>
      <w:r>
        <w:t>Geopolitical is the process of relating politics to international relations as influenced by geographical factors</w:t>
      </w:r>
      <w:r>
        <w:t>—g</w:t>
      </w:r>
      <w:r>
        <w:t>lobal supply chain</w:t>
      </w:r>
      <w:r>
        <w:t>s</w:t>
      </w:r>
      <w:r>
        <w:t xml:space="preserve"> experience multiple aspects of </w:t>
      </w:r>
      <w:r>
        <w:t>related geopolitical</w:t>
      </w:r>
      <w:r>
        <w:t xml:space="preserve"> risks. </w:t>
      </w:r>
      <w:r>
        <w:t>El Baz</w:t>
      </w:r>
      <w:r>
        <w:t xml:space="preserve"> </w:t>
      </w:r>
      <w:r>
        <w:t>&amp; Ruel (2021</w:t>
      </w:r>
      <w:r>
        <w:t>) noted that t</w:t>
      </w:r>
      <w:r>
        <w:t xml:space="preserve">hese global supply chain risk factors include conflicts </w:t>
      </w:r>
      <w:r>
        <w:t>and</w:t>
      </w:r>
      <w:r>
        <w:t xml:space="preserve"> trade </w:t>
      </w:r>
      <w:r>
        <w:t>restrictions</w:t>
      </w:r>
      <w:r>
        <w:t>.</w:t>
      </w:r>
      <w:r>
        <w:t xml:space="preserve"> </w:t>
      </w:r>
      <w:r>
        <w:t xml:space="preserve">Some governments have </w:t>
      </w:r>
      <w:r>
        <w:t xml:space="preserve">installed </w:t>
      </w:r>
      <w:r>
        <w:t>hars</w:t>
      </w:r>
      <w:r>
        <w:t>h polic</w:t>
      </w:r>
      <w:r>
        <w:t>i</w:t>
      </w:r>
      <w:r>
        <w:t xml:space="preserve">es for goods sourced out </w:t>
      </w:r>
      <w:r>
        <w:t xml:space="preserve">of </w:t>
      </w:r>
      <w:r>
        <w:t xml:space="preserve">their boundaries </w:t>
      </w:r>
      <w:r>
        <w:t>to promote</w:t>
      </w:r>
      <w:r>
        <w:t xml:space="preserve"> local trade. Further, </w:t>
      </w:r>
      <w:r>
        <w:t xml:space="preserve">the global supply chain experiences interstate conflict risks, where two states, nations, or regions are not </w:t>
      </w:r>
      <w:r>
        <w:t>o</w:t>
      </w:r>
      <w:r>
        <w:t xml:space="preserve">n good terms, causing a </w:t>
      </w:r>
      <w:r>
        <w:t>significant</w:t>
      </w:r>
      <w:r>
        <w:t xml:space="preserve"> challenge to complete the supply chain</w:t>
      </w:r>
      <w:r>
        <w:t xml:space="preserve">. </w:t>
      </w:r>
      <w:r>
        <w:t xml:space="preserve">Some parts of the world that </w:t>
      </w:r>
      <w:r>
        <w:t xml:space="preserve">need </w:t>
      </w:r>
      <w:r>
        <w:t>h</w:t>
      </w:r>
      <w:r>
        <w:t>ospital intensive care units (ITUs)</w:t>
      </w:r>
      <w:r>
        <w:t xml:space="preserve"> </w:t>
      </w:r>
      <w:r>
        <w:t xml:space="preserve">electronic systems </w:t>
      </w:r>
      <w:r>
        <w:t xml:space="preserve">are experiencing political instability. This makes </w:t>
      </w:r>
      <w:r>
        <w:t xml:space="preserve">the </w:t>
      </w:r>
      <w:r>
        <w:t xml:space="preserve">supply chain </w:t>
      </w:r>
      <w:r>
        <w:t xml:space="preserve">face impact when extended to those parts of the globe. </w:t>
      </w:r>
    </w:p>
    <w:p>
      <w:pPr>
        <w:pStyle w:val="style0"/>
        <w:ind w:firstLine="0"/>
        <w:rPr>
          <w:b/>
          <w:bCs/>
        </w:rPr>
      </w:pPr>
      <w:r>
        <w:rPr>
          <w:b/>
          <w:bCs/>
        </w:rPr>
        <w:t>Economic Risk Factors</w:t>
      </w:r>
    </w:p>
    <w:p>
      <w:pPr>
        <w:pStyle w:val="style0"/>
        <w:rPr/>
      </w:pPr>
      <w:r>
        <w:t>Min</w:t>
      </w:r>
      <w:r>
        <w:t xml:space="preserve"> (</w:t>
      </w:r>
      <w:r>
        <w:t>2017)</w:t>
      </w:r>
      <w:r>
        <w:t xml:space="preserve"> noted that e</w:t>
      </w:r>
      <w:r>
        <w:t>conomic risk factors typically relate to the demand shocks</w:t>
      </w:r>
      <w:r>
        <w:t>, affecting</w:t>
      </w:r>
      <w:r>
        <w:t xml:space="preserve"> the power to procure the product. Economic of a nation is depende</w:t>
      </w:r>
      <w:r>
        <w:t>nt</w:t>
      </w:r>
      <w:r>
        <w:t xml:space="preserve"> on political, economic, and environmental changes</w:t>
      </w:r>
      <w:r>
        <w:t xml:space="preserve"> (</w:t>
      </w:r>
      <w:r>
        <w:t>El Baz</w:t>
      </w:r>
      <w:r>
        <w:t xml:space="preserve"> </w:t>
      </w:r>
      <w:r>
        <w:t>&amp; Ruel</w:t>
      </w:r>
      <w:r>
        <w:t xml:space="preserve">, </w:t>
      </w:r>
      <w:r>
        <w:t>2021</w:t>
      </w:r>
      <w:r>
        <w:t>)</w:t>
      </w:r>
      <w:r>
        <w:t xml:space="preserve">. </w:t>
      </w:r>
      <w:r>
        <w:t xml:space="preserve">For instance, </w:t>
      </w:r>
      <w:r>
        <w:t xml:space="preserve">the </w:t>
      </w:r>
      <w:r>
        <w:t xml:space="preserve">global supply chain can experience price volatility which dictates input costs. </w:t>
      </w:r>
      <w:r>
        <w:t xml:space="preserve">Some government imposes trade </w:t>
      </w:r>
      <w:r>
        <w:t>restrictions</w:t>
      </w:r>
      <w:r>
        <w:t xml:space="preserve"> </w:t>
      </w:r>
      <w:r>
        <w:t xml:space="preserve">that the organization has to comply with, and some are </w:t>
      </w:r>
      <w:r>
        <w:t>unfavourable</w:t>
      </w:r>
      <w:r>
        <w:t xml:space="preserve">, causing global supply chains. </w:t>
      </w:r>
      <w:r>
        <w:t>The e</w:t>
      </w:r>
      <w:r>
        <w:t xml:space="preserve">conomic instability of the globe can dramatically cause </w:t>
      </w:r>
      <w:r>
        <w:t xml:space="preserve">a </w:t>
      </w:r>
      <w:r>
        <w:t xml:space="preserve">reduction in </w:t>
      </w:r>
      <w:r>
        <w:t xml:space="preserve">the </w:t>
      </w:r>
      <w:r>
        <w:t xml:space="preserve">number of </w:t>
      </w:r>
      <w:r>
        <w:t>demands</w:t>
      </w:r>
      <w:r>
        <w:t xml:space="preserve"> for the ITUs system. This will further reduce the </w:t>
      </w:r>
      <w:r>
        <w:t>nee</w:t>
      </w:r>
      <w:r>
        <w:t xml:space="preserve">d for raw material </w:t>
      </w:r>
      <w:r>
        <w:t>sourced</w:t>
      </w:r>
      <w:r>
        <w:t xml:space="preserve"> from UK, </w:t>
      </w:r>
      <w:r>
        <w:t>India</w:t>
      </w:r>
      <w:r>
        <w:t xml:space="preserve">, </w:t>
      </w:r>
      <w:r>
        <w:t>C</w:t>
      </w:r>
      <w:r>
        <w:t xml:space="preserve">hina, and Asian nations. Therefore, </w:t>
      </w:r>
      <w:r>
        <w:t xml:space="preserve">global chain supply is vulnerable to economic stability experienced by one economy involved within the chain. </w:t>
      </w:r>
    </w:p>
    <w:p>
      <w:pPr>
        <w:pStyle w:val="style0"/>
        <w:ind w:firstLine="0"/>
        <w:rPr>
          <w:b/>
          <w:bCs/>
        </w:rPr>
      </w:pPr>
      <w:r>
        <w:rPr>
          <w:b/>
          <w:bCs/>
        </w:rPr>
        <w:t>Technological Risk Factor</w:t>
      </w:r>
    </w:p>
    <w:p>
      <w:pPr>
        <w:pStyle w:val="style0"/>
        <w:rPr/>
      </w:pPr>
      <w:r>
        <w:t>Notably, technolog</w:t>
      </w:r>
      <w:r>
        <w:t>ical</w:t>
      </w:r>
      <w:r>
        <w:t xml:space="preserve"> advancements are being experienced </w:t>
      </w:r>
      <w:r>
        <w:t>in</w:t>
      </w:r>
      <w:r>
        <w:t xml:space="preserve"> every aspect of the globe. This include</w:t>
      </w:r>
      <w:r>
        <w:t>s</w:t>
      </w:r>
      <w:r>
        <w:t xml:space="preserve"> </w:t>
      </w:r>
      <w:r>
        <w:t xml:space="preserve">a </w:t>
      </w:r>
      <w:r>
        <w:t xml:space="preserve">global supply chain process </w:t>
      </w:r>
      <w:r>
        <w:t>that</w:t>
      </w:r>
      <w:r>
        <w:t xml:space="preserve"> depend</w:t>
      </w:r>
      <w:r>
        <w:t>s</w:t>
      </w:r>
      <w:r>
        <w:t xml:space="preserve"> on various technical techniques to be effectively completed. </w:t>
      </w:r>
      <w:r>
        <w:t>El Baz</w:t>
      </w:r>
      <w:r>
        <w:t xml:space="preserve"> </w:t>
      </w:r>
      <w:r>
        <w:t>&amp; Ruel (2021</w:t>
      </w:r>
      <w:r>
        <w:t>) noted that a</w:t>
      </w:r>
      <w:r>
        <w:t xml:space="preserve">lthough technology has positively enhanced </w:t>
      </w:r>
      <w:r>
        <w:t>international trade, global supply chains are continuously at risk of cyberattacks in their digital part. Cyber</w:t>
      </w:r>
      <w:r>
        <w:t>-</w:t>
      </w:r>
      <w:r>
        <w:t>attacks cause issue</w:t>
      </w:r>
      <w:r>
        <w:t>s</w:t>
      </w:r>
      <w:r>
        <w:t xml:space="preserve"> in data integrity, quality, and even supply consistency. </w:t>
      </w:r>
      <w:r>
        <w:t>Since supply chain</w:t>
      </w:r>
      <w:r>
        <w:t>s</w:t>
      </w:r>
      <w:r>
        <w:t xml:space="preserve"> </w:t>
      </w:r>
      <w:r>
        <w:t>depend on information technology, any attack in the information system can lead to significant trade ramifications</w:t>
      </w:r>
      <w:r>
        <w:t xml:space="preserve">. </w:t>
      </w:r>
    </w:p>
    <w:p>
      <w:pPr>
        <w:pStyle w:val="style0"/>
        <w:jc w:val="center"/>
        <w:rPr>
          <w:b/>
          <w:bCs/>
        </w:rPr>
      </w:pPr>
      <w:r>
        <w:rPr>
          <w:b/>
          <w:bCs/>
        </w:rPr>
        <w:t>Conclusion</w:t>
      </w:r>
    </w:p>
    <w:p>
      <w:pPr>
        <w:pStyle w:val="style0"/>
        <w:rPr/>
      </w:pPr>
      <w:r>
        <w:t xml:space="preserve">ITUs system will be sourced from the UK, part of software India, electronics parts from Asia, and the product sold and maintained globally. </w:t>
      </w:r>
      <w:r>
        <w:rPr>
          <w:rFonts w:hint="default"/>
        </w:rPr>
        <w:t>Globalization</w:t>
      </w:r>
      <w:r>
        <w:rPr>
          <w:rFonts w:hint="default"/>
        </w:rPr>
        <w:t xml:space="preserve"> </w:t>
      </w:r>
      <w:r>
        <w:rPr>
          <w:rFonts w:hint="default"/>
        </w:rPr>
        <w:t>has</w:t>
      </w:r>
      <w:r>
        <w:rPr>
          <w:rFonts w:hint="default"/>
        </w:rPr>
        <w:t xml:space="preserve"> </w:t>
      </w:r>
      <w:r>
        <w:rPr>
          <w:rFonts w:hint="default"/>
        </w:rPr>
        <w:t>opened</w:t>
      </w:r>
      <w:r>
        <w:rPr>
          <w:rFonts w:hint="default"/>
        </w:rPr>
        <w:t xml:space="preserve"> </w:t>
      </w:r>
      <w:r>
        <w:rPr>
          <w:rFonts w:hint="default"/>
        </w:rPr>
        <w:t>numerous</w:t>
      </w:r>
      <w:r>
        <w:rPr>
          <w:rFonts w:hint="default"/>
        </w:rPr>
        <w:t xml:space="preserve"> </w:t>
      </w:r>
      <w:r>
        <w:rPr>
          <w:rFonts w:hint="default"/>
        </w:rPr>
        <w:t>market</w:t>
      </w:r>
      <w:r>
        <w:rPr>
          <w:rFonts w:hint="default"/>
        </w:rPr>
        <w:t xml:space="preserve"> </w:t>
      </w:r>
      <w:r>
        <w:rPr>
          <w:rFonts w:hint="default"/>
        </w:rPr>
        <w:t>channels</w:t>
      </w:r>
      <w:r>
        <w:rPr>
          <w:rFonts w:hint="default"/>
        </w:rPr>
        <w:t xml:space="preserve"> </w:t>
      </w:r>
      <w:r>
        <w:rPr>
          <w:rFonts w:hint="default"/>
        </w:rPr>
        <w:t>that</w:t>
      </w:r>
      <w:r>
        <w:rPr>
          <w:rFonts w:hint="default"/>
        </w:rPr>
        <w:t xml:space="preserve"> </w:t>
      </w:r>
      <w:r>
        <w:rPr>
          <w:rFonts w:hint="default"/>
        </w:rPr>
        <w:t>help</w:t>
      </w:r>
      <w:r>
        <w:rPr>
          <w:rFonts w:hint="default"/>
        </w:rPr>
        <w:t xml:space="preserve"> </w:t>
      </w:r>
      <w:r>
        <w:rPr>
          <w:rFonts w:hint="default"/>
        </w:rPr>
        <w:t>individuals</w:t>
      </w:r>
      <w:r>
        <w:rPr>
          <w:rFonts w:hint="default"/>
        </w:rPr>
        <w:t xml:space="preserve"> </w:t>
      </w:r>
      <w:r>
        <w:rPr>
          <w:rFonts w:hint="default"/>
        </w:rPr>
        <w:t>and</w:t>
      </w:r>
      <w:r>
        <w:rPr>
          <w:rFonts w:hint="default"/>
        </w:rPr>
        <w:t xml:space="preserve"> </w:t>
      </w:r>
      <w:r>
        <w:rPr>
          <w:rFonts w:hint="default"/>
        </w:rPr>
        <w:t>organizations</w:t>
      </w:r>
      <w:r>
        <w:rPr>
          <w:rFonts w:hint="default"/>
        </w:rPr>
        <w:t xml:space="preserve"> </w:t>
      </w:r>
      <w:r>
        <w:rPr>
          <w:rFonts w:hint="default"/>
        </w:rPr>
        <w:t>extend</w:t>
      </w:r>
      <w:r>
        <w:rPr>
          <w:rFonts w:hint="default"/>
        </w:rPr>
        <w:t xml:space="preserve"> </w:t>
      </w:r>
      <w:r>
        <w:rPr>
          <w:rFonts w:hint="default"/>
        </w:rPr>
        <w:t>their</w:t>
      </w:r>
      <w:r>
        <w:rPr>
          <w:rFonts w:hint="default"/>
        </w:rPr>
        <w:t xml:space="preserve"> </w:t>
      </w:r>
      <w:r>
        <w:rPr>
          <w:rFonts w:hint="default"/>
        </w:rPr>
        <w:t>supply</w:t>
      </w:r>
      <w:r>
        <w:rPr>
          <w:rFonts w:hint="default"/>
        </w:rPr>
        <w:t xml:space="preserve"> </w:t>
      </w:r>
      <w:r>
        <w:rPr>
          <w:rFonts w:hint="default"/>
        </w:rPr>
        <w:t>chain</w:t>
      </w:r>
      <w:r>
        <w:rPr>
          <w:rFonts w:hint="default"/>
        </w:rPr>
        <w:t xml:space="preserve"> </w:t>
      </w:r>
      <w:r>
        <w:rPr>
          <w:rFonts w:hint="default"/>
        </w:rPr>
        <w:t>beyond</w:t>
      </w:r>
      <w:r>
        <w:rPr>
          <w:rFonts w:hint="default"/>
        </w:rPr>
        <w:t xml:space="preserve"> </w:t>
      </w:r>
      <w:r>
        <w:rPr>
          <w:rFonts w:hint="default"/>
        </w:rPr>
        <w:t>nations</w:t>
      </w:r>
      <w:r>
        <w:rPr>
          <w:rFonts w:hint="default"/>
        </w:rPr>
        <w:t>'</w:t>
      </w:r>
      <w:r>
        <w:rPr>
          <w:rFonts w:hint="default"/>
        </w:rPr>
        <w:t xml:space="preserve"> </w:t>
      </w:r>
      <w:r>
        <w:rPr>
          <w:rFonts w:hint="default"/>
        </w:rPr>
        <w:t xml:space="preserve">boundaries. </w:t>
      </w:r>
      <w:r>
        <w:rPr>
          <w:rFonts w:hint="default"/>
          <w:lang w:val="en-US"/>
        </w:rPr>
        <w:t>This</w:t>
      </w:r>
      <w:r>
        <w:t xml:space="preserve"> means </w:t>
      </w:r>
      <w:r>
        <w:t xml:space="preserve">the </w:t>
      </w:r>
      <w:r>
        <w:t xml:space="preserve">supply chain will have to be conducted through nations. </w:t>
      </w:r>
      <w:r>
        <w:t>Global</w:t>
      </w:r>
      <w:r>
        <w:t xml:space="preserve"> supply chain risks are grouped primarily into geopolitical, technological, environmental, and economic risk factors</w:t>
      </w:r>
      <w:r>
        <w:t xml:space="preserve">. </w:t>
      </w:r>
      <w:r>
        <w:rPr>
          <w:rFonts w:hint="default"/>
        </w:rPr>
        <w:t>The</w:t>
      </w:r>
      <w:r>
        <w:rPr>
          <w:rFonts w:hint="default"/>
        </w:rPr>
        <w:t xml:space="preserve"> </w:t>
      </w:r>
      <w:r>
        <w:rPr>
          <w:rFonts w:hint="default"/>
        </w:rPr>
        <w:t>glob</w:t>
      </w:r>
      <w:r>
        <w:rPr>
          <w:rFonts w:hint="default"/>
        </w:rPr>
        <w:t>al</w:t>
      </w:r>
      <w:r>
        <w:rPr>
          <w:rFonts w:hint="default"/>
        </w:rPr>
        <w:t xml:space="preserve"> </w:t>
      </w:r>
      <w:r>
        <w:rPr>
          <w:rFonts w:hint="default"/>
        </w:rPr>
        <w:t>supply</w:t>
      </w:r>
      <w:r>
        <w:rPr>
          <w:rFonts w:hint="default"/>
        </w:rPr>
        <w:t xml:space="preserve"> </w:t>
      </w:r>
      <w:r>
        <w:rPr>
          <w:rFonts w:hint="default"/>
        </w:rPr>
        <w:t>chain</w:t>
      </w:r>
      <w:r>
        <w:rPr>
          <w:rFonts w:hint="default"/>
        </w:rPr>
        <w:t xml:space="preserve"> </w:t>
      </w:r>
      <w:r>
        <w:rPr>
          <w:rFonts w:hint="default"/>
        </w:rPr>
        <w:t>of</w:t>
      </w:r>
      <w:r>
        <w:rPr>
          <w:rFonts w:hint="default"/>
        </w:rPr>
        <w:t xml:space="preserve"> </w:t>
      </w:r>
      <w:r>
        <w:rPr>
          <w:rFonts w:hint="default"/>
        </w:rPr>
        <w:t>setting</w:t>
      </w:r>
      <w:r>
        <w:rPr>
          <w:rFonts w:hint="default"/>
        </w:rPr>
        <w:t xml:space="preserve"> </w:t>
      </w:r>
      <w:r>
        <w:rPr>
          <w:rFonts w:hint="default"/>
        </w:rPr>
        <w:t>up</w:t>
      </w:r>
      <w:r>
        <w:rPr>
          <w:rFonts w:hint="default"/>
        </w:rPr>
        <w:t xml:space="preserve"> </w:t>
      </w:r>
      <w:r>
        <w:rPr>
          <w:rFonts w:hint="default"/>
        </w:rPr>
        <w:t>an</w:t>
      </w:r>
      <w:r>
        <w:rPr>
          <w:rFonts w:hint="default"/>
        </w:rPr>
        <w:t xml:space="preserve"> </w:t>
      </w:r>
      <w:r>
        <w:rPr>
          <w:rFonts w:hint="default"/>
        </w:rPr>
        <w:t>intensive</w:t>
      </w:r>
      <w:r>
        <w:rPr>
          <w:rFonts w:hint="default"/>
        </w:rPr>
        <w:t xml:space="preserve"> </w:t>
      </w:r>
      <w:r>
        <w:rPr>
          <w:rFonts w:hint="default"/>
        </w:rPr>
        <w:t>care</w:t>
      </w:r>
      <w:r>
        <w:rPr>
          <w:rFonts w:hint="default"/>
        </w:rPr>
        <w:t xml:space="preserve"> </w:t>
      </w:r>
      <w:r>
        <w:rPr>
          <w:rFonts w:hint="default"/>
        </w:rPr>
        <w:t>unit</w:t>
      </w:r>
      <w:r>
        <w:rPr>
          <w:rFonts w:hint="default"/>
        </w:rPr>
        <w:t xml:space="preserve"> </w:t>
      </w:r>
      <w:r>
        <w:rPr>
          <w:rFonts w:hint="default"/>
        </w:rPr>
        <w:t>can</w:t>
      </w:r>
      <w:r>
        <w:rPr>
          <w:rFonts w:hint="default"/>
        </w:rPr>
        <w:t xml:space="preserve"> </w:t>
      </w:r>
      <w:r>
        <w:rPr>
          <w:rFonts w:hint="default"/>
        </w:rPr>
        <w:t>experience</w:t>
      </w:r>
      <w:r>
        <w:rPr>
          <w:rFonts w:hint="default"/>
        </w:rPr>
        <w:t xml:space="preserve"> </w:t>
      </w:r>
      <w:r>
        <w:rPr>
          <w:rFonts w:hint="default"/>
        </w:rPr>
        <w:t>extreme</w:t>
      </w:r>
      <w:r>
        <w:rPr>
          <w:rFonts w:hint="default"/>
        </w:rPr>
        <w:t xml:space="preserve"> </w:t>
      </w:r>
      <w:r>
        <w:rPr>
          <w:rFonts w:hint="default"/>
        </w:rPr>
        <w:t>weather</w:t>
      </w:r>
      <w:r>
        <w:rPr>
          <w:rFonts w:hint="default"/>
        </w:rPr>
        <w:t xml:space="preserve"> </w:t>
      </w:r>
      <w:r>
        <w:rPr>
          <w:rFonts w:hint="default"/>
          <w:lang w:val="en-US"/>
        </w:rPr>
        <w:t>events. Therefore</w:t>
      </w:r>
      <w:r>
        <w:t>, it i</w:t>
      </w:r>
      <w:r>
        <w:t xml:space="preserve">s essential to aspect these risks for </w:t>
      </w:r>
      <w:r>
        <w:t>the electronic system's effective supply chain</w:t>
      </w:r>
      <w:r>
        <w:t xml:space="preserve"> for patient monitoring in hospital intensive care units (ITUs</w:t>
      </w:r>
      <w:r>
        <w:t>)</w:t>
      </w:r>
      <w:r>
        <w:t>.</w:t>
      </w:r>
      <w:r>
        <w:rPr>
          <w:rFonts w:hint="default"/>
        </w:rPr>
        <w:t>The</w:t>
      </w:r>
      <w:r>
        <w:rPr>
          <w:rFonts w:hint="default"/>
        </w:rPr>
        <w:t xml:space="preserve"> </w:t>
      </w:r>
      <w:r>
        <w:rPr>
          <w:rFonts w:hint="default"/>
        </w:rPr>
        <w:t>s</w:t>
      </w:r>
      <w:r>
        <w:rPr>
          <w:rFonts w:hint="default"/>
        </w:rPr>
        <w:t>upply</w:t>
      </w:r>
      <w:r>
        <w:rPr>
          <w:rFonts w:hint="default"/>
        </w:rPr>
        <w:t xml:space="preserve"> </w:t>
      </w:r>
      <w:r>
        <w:rPr>
          <w:rFonts w:hint="default"/>
        </w:rPr>
        <w:t>chain</w:t>
      </w:r>
      <w:r>
        <w:rPr>
          <w:rFonts w:hint="default"/>
        </w:rPr>
        <w:t xml:space="preserve"> </w:t>
      </w:r>
      <w:r>
        <w:rPr>
          <w:rFonts w:hint="default"/>
        </w:rPr>
        <w:t>has</w:t>
      </w:r>
      <w:r>
        <w:rPr>
          <w:rFonts w:hint="default"/>
        </w:rPr>
        <w:t xml:space="preserve"> </w:t>
      </w:r>
      <w:r>
        <w:rPr>
          <w:rFonts w:hint="default"/>
        </w:rPr>
        <w:t>to</w:t>
      </w:r>
      <w:r>
        <w:rPr>
          <w:rFonts w:hint="default"/>
        </w:rPr>
        <w:t xml:space="preserve"> </w:t>
      </w:r>
      <w:r>
        <w:rPr>
          <w:rFonts w:hint="default"/>
        </w:rPr>
        <w:t>meet</w:t>
      </w:r>
      <w:r>
        <w:rPr>
          <w:rFonts w:hint="default"/>
        </w:rPr>
        <w:t xml:space="preserve"> </w:t>
      </w:r>
      <w:r>
        <w:rPr>
          <w:rFonts w:hint="default"/>
        </w:rPr>
        <w:t>demand</w:t>
      </w:r>
      <w:r>
        <w:rPr>
          <w:rFonts w:hint="default"/>
        </w:rPr>
        <w:t>,</w:t>
      </w:r>
      <w:r>
        <w:rPr>
          <w:rFonts w:hint="default"/>
        </w:rPr>
        <w:t xml:space="preserve"> </w:t>
      </w:r>
      <w:r>
        <w:rPr>
          <w:rFonts w:hint="default"/>
        </w:rPr>
        <w:t>and</w:t>
      </w:r>
      <w:r>
        <w:rPr>
          <w:rFonts w:hint="default"/>
        </w:rPr>
        <w:t xml:space="preserve"> </w:t>
      </w:r>
      <w:r>
        <w:rPr>
          <w:rFonts w:hint="default"/>
        </w:rPr>
        <w:t>func</w:t>
      </w:r>
      <w:r>
        <w:rPr>
          <w:rFonts w:hint="default"/>
        </w:rPr>
        <w:t>tional</w:t>
      </w:r>
      <w:r>
        <w:rPr>
          <w:rFonts w:hint="default"/>
        </w:rPr>
        <w:t xml:space="preserve"> </w:t>
      </w:r>
      <w:r>
        <w:rPr>
          <w:rFonts w:hint="default"/>
        </w:rPr>
        <w:t>requirement</w:t>
      </w:r>
      <w:r>
        <w:rPr>
          <w:rFonts w:hint="default"/>
        </w:rPr>
        <w:t>s</w:t>
      </w:r>
      <w:r>
        <w:rPr>
          <w:rFonts w:hint="default"/>
        </w:rPr>
        <w:t xml:space="preserve"> </w:t>
      </w:r>
      <w:r>
        <w:rPr>
          <w:rFonts w:hint="default"/>
        </w:rPr>
        <w:t>or</w:t>
      </w:r>
      <w:r>
        <w:rPr>
          <w:rFonts w:hint="default"/>
        </w:rPr>
        <w:t xml:space="preserve"> </w:t>
      </w:r>
      <w:r>
        <w:rPr>
          <w:rFonts w:hint="default"/>
        </w:rPr>
        <w:t>whereas</w:t>
      </w:r>
      <w:r>
        <w:rPr>
          <w:rFonts w:hint="default"/>
        </w:rPr>
        <w:t xml:space="preserve"> </w:t>
      </w:r>
      <w:r>
        <w:rPr>
          <w:rFonts w:hint="default"/>
        </w:rPr>
        <w:t>give</w:t>
      </w:r>
      <w:r>
        <w:rPr>
          <w:rFonts w:hint="default"/>
        </w:rPr>
        <w:t xml:space="preserve"> </w:t>
      </w:r>
      <w:r>
        <w:rPr>
          <w:rFonts w:hint="default"/>
        </w:rPr>
        <w:t>rise</w:t>
      </w:r>
      <w:r>
        <w:rPr>
          <w:rFonts w:hint="default"/>
        </w:rPr>
        <w:t xml:space="preserve"> </w:t>
      </w:r>
      <w:r>
        <w:rPr>
          <w:rFonts w:hint="default"/>
        </w:rPr>
        <w:t>to</w:t>
      </w:r>
      <w:r>
        <w:rPr>
          <w:rFonts w:hint="default"/>
        </w:rPr>
        <w:t xml:space="preserve"> </w:t>
      </w:r>
      <w:r>
        <w:rPr>
          <w:rFonts w:hint="default"/>
        </w:rPr>
        <w:t>supply</w:t>
      </w:r>
      <w:r>
        <w:rPr>
          <w:rFonts w:hint="default"/>
        </w:rPr>
        <w:t xml:space="preserve"> </w:t>
      </w:r>
      <w:r>
        <w:rPr>
          <w:rFonts w:hint="default"/>
        </w:rPr>
        <w:t>disruptions.</w:t>
      </w:r>
    </w:p>
    <w:p>
      <w:pPr>
        <w:pStyle w:val="style0"/>
        <w:rPr>
          <w:b/>
          <w:bCs/>
        </w:rPr>
      </w:pPr>
      <w:r>
        <w:rPr>
          <w:b/>
          <w:bCs/>
        </w:rPr>
        <w:br w:type="page"/>
      </w:r>
    </w:p>
    <w:p>
      <w:pPr>
        <w:pStyle w:val="style0"/>
        <w:jc w:val="center"/>
        <w:rPr>
          <w:b/>
          <w:bCs/>
        </w:rPr>
      </w:pPr>
      <w:r>
        <w:rPr>
          <w:b/>
          <w:bCs/>
        </w:rPr>
        <w:t>References</w:t>
      </w:r>
    </w:p>
    <w:p>
      <w:pPr>
        <w:pStyle w:val="style0"/>
        <w:ind w:left="720" w:hanging="720"/>
        <w:rPr/>
      </w:pPr>
      <w:r>
        <w:t>El Baz, J., &amp; Ruel, S. (2021). Can supply chain risk management practices mitigate the disruption impacts on supply chains</w:t>
      </w:r>
      <w:r>
        <w:t>'</w:t>
      </w:r>
      <w:r>
        <w:t xml:space="preserve"> resilience and robustness? Evidence from an empirical survey in a COVID-19 outbreak era. </w:t>
      </w:r>
      <w:r>
        <w:rPr>
          <w:i/>
          <w:iCs/>
        </w:rPr>
        <w:t>International Journal of Production Economics</w:t>
      </w:r>
      <w:r>
        <w:t>, </w:t>
      </w:r>
      <w:r>
        <w:rPr>
          <w:i/>
          <w:iCs/>
        </w:rPr>
        <w:t>233</w:t>
      </w:r>
      <w:r>
        <w:t>, 107972.</w:t>
      </w:r>
    </w:p>
    <w:p>
      <w:pPr>
        <w:pStyle w:val="style0"/>
        <w:ind w:left="720" w:hanging="720"/>
        <w:rPr/>
      </w:pPr>
      <w:r>
        <w:t xml:space="preserve">Min, H. (2017). Health care supply chain research: Where are we </w:t>
      </w:r>
      <w:r>
        <w:t>going?.</w:t>
      </w:r>
      <w:r>
        <w:t> </w:t>
      </w:r>
      <w:r>
        <w:rPr>
          <w:i/>
          <w:iCs/>
        </w:rPr>
        <w:t>Logistics Research</w:t>
      </w:r>
      <w:r>
        <w:t>, </w:t>
      </w:r>
      <w:r>
        <w:rPr>
          <w:i/>
          <w:iCs/>
        </w:rPr>
        <w:t>10</w:t>
      </w:r>
      <w:r>
        <w:t>(5), 1-19.</w:t>
      </w:r>
    </w:p>
    <w:p>
      <w:pPr>
        <w:pStyle w:val="style0"/>
        <w:ind w:left="720" w:hanging="720"/>
        <w:rPr/>
      </w:pPr>
      <w:r>
        <w:t xml:space="preserve">Vincent, J. L., </w:t>
      </w:r>
      <w:r>
        <w:t>Sakr</w:t>
      </w:r>
      <w:r>
        <w:t>, Y., Singer, M., Martin-</w:t>
      </w:r>
      <w:r>
        <w:t>Loeches</w:t>
      </w:r>
      <w:r>
        <w:t>, I., Machado, F. R., Marshall, J. C., ... &amp; Angus, D. C. (2020). Prevalence and outcomes of infection among patients in intensive care units in 2017. </w:t>
      </w:r>
      <w:r>
        <w:rPr>
          <w:i/>
          <w:iCs/>
        </w:rPr>
        <w:t>Jama</w:t>
      </w:r>
      <w:r>
        <w:t>, </w:t>
      </w:r>
      <w:r>
        <w:rPr>
          <w:i/>
          <w:iCs/>
        </w:rPr>
        <w:t>323</w:t>
      </w:r>
      <w:r>
        <w:t>(15), 1478-1487.</w:t>
      </w:r>
    </w:p>
    <w:p>
      <w:pPr>
        <w:pStyle w:val="style0"/>
        <w:rPr/>
      </w:pPr>
    </w:p>
    <w:sectPr>
      <w:headerReference w:type="default" r:id="rId3"/>
      <w:headerReference w:type="first" r:id="rId4"/>
      <w:pgSz w:w="12240" w:h="15840" w:orient="portrait"/>
      <w:pgMar w:top="1440" w:right="1440" w:bottom="1440" w:left="1440" w:header="720" w:footer="720" w:gutter="0"/>
      <w:cols w:space="720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004020304"/>
    <w:charset w:val="00"/>
    <w:family w:val="roman"/>
    <w:pitch w:val="variable"/>
    <w:sig w:usb0="E0002EFF" w:usb1="C000785B" w:usb2="00000009" w:usb3="00000000" w:csb0="000001FF" w:csb1="00000000"/>
  </w:font>
  <w:font w:name="Calibri">
    <w:altName w:val="Calibri"/>
    <w:panose1 w:val="020f0502020002030204"/>
    <w:charset w:val="00"/>
    <w:family w:val="swiss"/>
    <w:pitch w:val="variable"/>
    <w:sig w:usb0="E4002EFF" w:usb1="C000247B" w:usb2="00000009" w:usb3="00000000" w:csb0="000001FF" w:csb1="00000000"/>
  </w:font>
  <w:font w:name="Calibri Light">
    <w:altName w:val="Calibri Light"/>
    <w:panose1 w:val="020f0302020002030204"/>
    <w:charset w:val="00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mc:Ignorable="w14 wp14">
  <w:p>
    <w:pPr>
      <w:pStyle w:val="style31"/>
      <w:ind w:firstLine="0"/>
      <w:rPr/>
    </w:pPr>
    <w:r>
      <w:t>GLOBAL SUPPLY CHAIN RISK OVERVIEW</w:t>
    </w:r>
    <w:r>
      <w:tab/>
    </w:r>
    <w:r>
      <w:rPr/>
      <w:fldChar w:fldCharType="begin"/>
    </w:r>
    <w:r>
      <w:instrText xml:space="preserve"> PAGE   \* MERGEFORMAT </w:instrText>
    </w:r>
    <w:r>
      <w:rPr/>
      <w:fldChar w:fldCharType="separate"/>
    </w:r>
    <w:r>
      <w:rPr>
        <w:noProof/>
      </w:rPr>
      <w:t>2</w:t>
    </w:r>
    <w:r>
      <w:rPr>
        <w:noProof/>
      </w:rPr>
      <w:fldChar w:fldCharType="end"/>
    </w:r>
  </w:p>
  <w:p>
    <w:pPr>
      <w:pStyle w:val="style31"/>
      <w:rPr/>
    </w:pPr>
  </w:p>
</w:hdr>
</file>

<file path=word/header2.xml><?xml version="1.0" encoding="utf-8"?>
<w:hdr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mc:Ignorable="w14 wp14">
  <w:p>
    <w:pPr>
      <w:pStyle w:val="style31"/>
      <w:ind w:firstLine="0"/>
      <w:rPr/>
    </w:pPr>
    <w:r>
      <w:t xml:space="preserve">Running Head: </w:t>
    </w:r>
    <w:r>
      <w:t>GLOBAL SUPPLY CHAIN RISK OVERVIEW</w:t>
    </w:r>
    <w:r>
      <w:tab/>
    </w:r>
    <w:r>
      <w:rPr/>
      <w:fldChar w:fldCharType="begin"/>
    </w:r>
    <w:r>
      <w:instrText xml:space="preserve"> PAGE   \* MERGEFORMAT </w:instrText>
    </w:r>
    <w:r>
      <w:rPr/>
      <w:fldChar w:fldCharType="separate"/>
    </w:r>
    <w:r>
      <w:rPr>
        <w:noProof/>
      </w:rPr>
      <w:t>2</w:t>
    </w:r>
    <w:r>
      <w:rPr>
        <w:noProof/>
      </w:rPr>
      <w:fldChar w:fldCharType="end"/>
    </w:r>
  </w:p>
  <w:p>
    <w:pPr>
      <w:pStyle w:val="style31"/>
      <w:rPr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100"/>
  <w:proofState w:spelling="clean" w:grammar="clean"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Times New Roman" w:cs="宋体" w:eastAsia="Calibri" w:hAnsi="Times New Roman"/>
        <w:sz w:val="24"/>
        <w:szCs w:val="22"/>
        <w:lang w:val="en-US" w:bidi="ar-SA" w:eastAsia="en-US"/>
      </w:rPr>
    </w:rPrDefault>
    <w:pPrDefault>
      <w:pPr>
        <w:spacing w:after="160" w:lineRule="auto" w:line="480"/>
        <w:ind w:firstLine="720"/>
      </w:pPr>
    </w:pPrDefault>
  </w:docDefaults>
  <w:style w:type="paragraph" w:default="1" w:styleId="style0">
    <w:name w:val="Normal"/>
    <w:next w:val="style0"/>
    <w:qFormat/>
    <w:pPr/>
  </w:style>
  <w:style w:type="character" w:default="1" w:styleId="style65">
    <w:name w:val="Default Paragraph Font"/>
    <w:next w:val="style65"/>
    <w:uiPriority w:val="1"/>
  </w:style>
  <w:style w:type="table" w:default="1" w:styleId="style105">
    <w:name w:val="Normal Table"/>
    <w:next w:val="style105"/>
    <w:uiPriority w:val="99"/>
    <w:pPr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numbering" w:default="1" w:styleId="style107">
    <w:name w:val="No List"/>
    <w:next w:val="style107"/>
    <w:uiPriority w:val="99"/>
    <w:pPr/>
  </w:style>
  <w:style w:type="character" w:styleId="style85">
    <w:name w:val="Hyperlink"/>
    <w:basedOn w:val="style65"/>
    <w:next w:val="style85"/>
    <w:uiPriority w:val="99"/>
    <w:rPr>
      <w:color w:val="0563c1"/>
      <w:u w:val="single"/>
    </w:rPr>
  </w:style>
  <w:style w:type="character" w:customStyle="1" w:styleId="style4097">
    <w:name w:val="Unresolved Mention"/>
    <w:basedOn w:val="style65"/>
    <w:next w:val="style4097"/>
    <w:uiPriority w:val="99"/>
    <w:rPr>
      <w:color w:val="605e5c"/>
      <w:shd w:val="clear" w:color="auto" w:fill="e1dfdd"/>
    </w:rPr>
  </w:style>
  <w:style w:type="paragraph" w:styleId="style31">
    <w:name w:val="header"/>
    <w:basedOn w:val="style0"/>
    <w:next w:val="style31"/>
    <w:link w:val="style4098"/>
    <w:uiPriority w:val="99"/>
    <w:pPr>
      <w:tabs>
        <w:tab w:val="center" w:leader="none" w:pos="4680"/>
        <w:tab w:val="right" w:leader="none" w:pos="9360"/>
      </w:tabs>
      <w:spacing w:after="0" w:lineRule="auto" w:line="240"/>
    </w:pPr>
    <w:rPr/>
  </w:style>
  <w:style w:type="character" w:customStyle="1" w:styleId="style4098">
    <w:name w:val="Header Char_2b76ab28-7b32-431f-bdfd-e8444e5e6d61"/>
    <w:basedOn w:val="style65"/>
    <w:next w:val="style4098"/>
    <w:link w:val="style31"/>
    <w:uiPriority w:val="99"/>
  </w:style>
  <w:style w:type="paragraph" w:styleId="style32">
    <w:name w:val="footer"/>
    <w:basedOn w:val="style0"/>
    <w:next w:val="style32"/>
    <w:link w:val="style4099"/>
    <w:uiPriority w:val="99"/>
    <w:pPr>
      <w:tabs>
        <w:tab w:val="center" w:leader="none" w:pos="4680"/>
        <w:tab w:val="right" w:leader="none" w:pos="9360"/>
      </w:tabs>
      <w:spacing w:after="0" w:lineRule="auto" w:line="240"/>
    </w:pPr>
    <w:rPr/>
  </w:style>
  <w:style w:type="character" w:customStyle="1" w:styleId="style4099">
    <w:name w:val="Footer Char_5a6e0434-12d8-449b-ac29-09e71ede8947"/>
    <w:basedOn w:val="style65"/>
    <w:next w:val="style4099"/>
    <w:link w:val="style32"/>
    <w:uiPriority w:val="99"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header" Target="header2.xml"/><Relationship Id="rId5" Type="http://schemas.openxmlformats.org/officeDocument/2006/relationships/styles" Target="styles.xml"/><Relationship Id="rId6" Type="http://schemas.openxmlformats.org/officeDocument/2006/relationships/fontTable" Target="fontTable.xml"/><Relationship Id="rId7" Type="http://schemas.openxmlformats.org/officeDocument/2006/relationships/settings" Target="settings.xml"/><Relationship Id="rId8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214</TotalTime>
  <Words>1175</Words>
  <Pages>1</Pages>
  <Characters>6852</Characters>
  <Application>WPS Office</Application>
  <DocSecurity>0</DocSecurity>
  <Paragraphs>64</Paragraphs>
  <ScaleCrop>false</ScaleCrop>
  <LinksUpToDate>false</LinksUpToDate>
  <CharactersWithSpaces>8002</CharactersWithSpaces>
  <SharedDoc>false</SharedDoc>
  <HyperlinksChanged>false</HyperlinksChanged>
  <AppVersion>16.000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2021-04-14T10:27:00Z</dcterms:created>
  <dc:creator>USER</dc:creator>
  <lastModifiedBy>TECNO CC7</lastModifiedBy>
  <dcterms:modified xsi:type="dcterms:W3CDTF">2021-04-14T15:38:04Z</dcterms:modified>
  <revision>17</revision>
</coreProperties>
</file>

<file path=docProps/custom.xml><?xml version="1.0" encoding="utf-8"?>
<Properties xmlns="http://schemas.openxmlformats.org/officeDocument/2006/custom-properties" xmlns:vt="http://schemas.openxmlformats.org/officeDocument/2006/docPropsVTypes"/>
</file>